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41957" w14:textId="77777777" w:rsidR="00832B1B" w:rsidRPr="00794B9B" w:rsidRDefault="00832B1B" w:rsidP="00832B1B">
      <w:pPr>
        <w:spacing w:after="0" w:line="276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794B9B">
        <w:rPr>
          <w:rFonts w:ascii="Palatino Linotype" w:hAnsi="Palatino Linotype"/>
          <w:b/>
          <w:bCs/>
          <w:sz w:val="20"/>
          <w:szCs w:val="20"/>
        </w:rPr>
        <w:t xml:space="preserve">Temat: </w:t>
      </w:r>
    </w:p>
    <w:p w14:paraId="2ABCF107" w14:textId="3A8A5B6B" w:rsidR="00832B1B" w:rsidRDefault="00832B1B" w:rsidP="00832B1B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Informacje udzielone akcjonariuszowi poza Walnym Zgromadzeniem Spółki w trybie art. 428 KSH</w:t>
      </w:r>
    </w:p>
    <w:p w14:paraId="7FB0A9F8" w14:textId="77777777" w:rsidR="00832B1B" w:rsidRDefault="00832B1B" w:rsidP="00832B1B">
      <w:pPr>
        <w:spacing w:after="0" w:line="276" w:lineRule="auto"/>
        <w:jc w:val="both"/>
        <w:rPr>
          <w:rFonts w:ascii="Palatino Linotype" w:hAnsi="Palatino Linotype"/>
          <w:b/>
          <w:bCs/>
          <w:sz w:val="20"/>
          <w:szCs w:val="20"/>
        </w:rPr>
      </w:pPr>
    </w:p>
    <w:p w14:paraId="5D8C5D34" w14:textId="77777777" w:rsidR="00832B1B" w:rsidRDefault="00832B1B" w:rsidP="00832B1B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  <w:r w:rsidRPr="00794B9B">
        <w:rPr>
          <w:rFonts w:ascii="Palatino Linotype" w:hAnsi="Palatino Linotype"/>
          <w:b/>
          <w:bCs/>
          <w:sz w:val="20"/>
          <w:szCs w:val="20"/>
        </w:rPr>
        <w:t>Podstawa prawna:</w:t>
      </w:r>
      <w:r>
        <w:rPr>
          <w:rFonts w:ascii="Palatino Linotype" w:hAnsi="Palatino Linotype"/>
          <w:sz w:val="20"/>
          <w:szCs w:val="20"/>
        </w:rPr>
        <w:t xml:space="preserve"> </w:t>
      </w:r>
    </w:p>
    <w:p w14:paraId="5972D534" w14:textId="176D7774" w:rsidR="00832B1B" w:rsidRDefault="00832B1B" w:rsidP="00832B1B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</w:t>
      </w:r>
      <w:r w:rsidRPr="00832B1B">
        <w:rPr>
          <w:rFonts w:ascii="Palatino Linotype" w:hAnsi="Palatino Linotype"/>
          <w:sz w:val="20"/>
          <w:szCs w:val="20"/>
        </w:rPr>
        <w:t>rt. 56 ust. 1 pkt 2 Ustawy o ofercie - informacje bieżące i okresowe</w:t>
      </w:r>
    </w:p>
    <w:p w14:paraId="256A21C1" w14:textId="77777777" w:rsidR="00832B1B" w:rsidRDefault="00832B1B" w:rsidP="00832B1B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</w:p>
    <w:p w14:paraId="739DB83C" w14:textId="77777777" w:rsidR="00832B1B" w:rsidRDefault="00832B1B" w:rsidP="00832B1B">
      <w:pPr>
        <w:spacing w:after="0" w:line="276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794B9B">
        <w:rPr>
          <w:rFonts w:ascii="Palatino Linotype" w:hAnsi="Palatino Linotype"/>
          <w:b/>
          <w:bCs/>
          <w:sz w:val="20"/>
          <w:szCs w:val="20"/>
        </w:rPr>
        <w:t xml:space="preserve">Treść: </w:t>
      </w:r>
    </w:p>
    <w:p w14:paraId="4A76E85F" w14:textId="17237569" w:rsidR="00832B1B" w:rsidRDefault="00832B1B" w:rsidP="00832B1B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Zarząd M.W. Trade S.A. z siedzibą we Wrocławiu (dalej: „Emitent”, „Spółka”), przekazuje odpowiedzi udzielone na pytania zdane przez akcjonariusza Spółki poza Walnym Zgromadzeniem Emitenta w trybie art. 428 § 6 KSH. </w:t>
      </w:r>
    </w:p>
    <w:p w14:paraId="465C0CF1" w14:textId="5469648C" w:rsidR="00832B1B" w:rsidRDefault="00832B1B" w:rsidP="00832B1B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</w:p>
    <w:p w14:paraId="0289892C" w14:textId="786C56D6" w:rsidR="00832B1B" w:rsidRPr="00832B1B" w:rsidRDefault="00832B1B" w:rsidP="00832B1B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Pytanie</w:t>
      </w:r>
      <w:r w:rsidR="00C925B1">
        <w:rPr>
          <w:rFonts w:ascii="Palatino Linotype" w:hAnsi="Palatino Linotype"/>
          <w:sz w:val="20"/>
          <w:szCs w:val="20"/>
        </w:rPr>
        <w:t xml:space="preserve"> nr 1</w:t>
      </w:r>
      <w:r>
        <w:rPr>
          <w:rFonts w:ascii="Palatino Linotype" w:hAnsi="Palatino Linotype"/>
          <w:sz w:val="20"/>
          <w:szCs w:val="20"/>
        </w:rPr>
        <w:t xml:space="preserve">: </w:t>
      </w:r>
      <w:r w:rsidRPr="00832B1B">
        <w:rPr>
          <w:rFonts w:ascii="Palatino Linotype" w:hAnsi="Palatino Linotype"/>
          <w:sz w:val="20"/>
          <w:szCs w:val="20"/>
        </w:rPr>
        <w:t>Na s. 14 SF czytam: „Spłaty tak istotnej ekspozycji [dot. Grudziądza] wiązały się ze zmianą szacunków zgodnie z MSSF9 oraz powstaniem straty podatkowej, która to z kolei spowodowała utworzenie odpisu z tytułu podatku odroczonego.”. Dodatkowo z opisu na s. 14 sprawozdania z działalności wnioskuję, że powstanie istotnej straty podatkowej wynika „z wcześniej zawartych transakcji po stronie pasywnej dla spłaconej ekspozycji”. Proszę wyjaśnić w jaki dokładnie sposób spłata spowodowała powstanie straty podatkowej?</w:t>
      </w:r>
    </w:p>
    <w:p w14:paraId="715FFF13" w14:textId="77777777" w:rsidR="00832B1B" w:rsidRPr="00832B1B" w:rsidRDefault="00832B1B" w:rsidP="00832B1B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</w:p>
    <w:p w14:paraId="0AC96E8C" w14:textId="677CF46B" w:rsidR="00832B1B" w:rsidRPr="00832B1B" w:rsidRDefault="00832B1B" w:rsidP="00832B1B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Odpowiedź: </w:t>
      </w:r>
      <w:r w:rsidRPr="00832B1B">
        <w:rPr>
          <w:rFonts w:ascii="Palatino Linotype" w:hAnsi="Palatino Linotype"/>
          <w:sz w:val="20"/>
          <w:szCs w:val="20"/>
        </w:rPr>
        <w:t xml:space="preserve">Powstanie straty podatkowej na projektach dotyczących Grudziądza, a w zasadzie na wcześniejszym ich rozliczeniu, wynikało w głównej mierze z mechanizmu rozpoznawania wyniku podatkowego na transakcjach wykupu (to ta wspomniana część pasywna). </w:t>
      </w:r>
    </w:p>
    <w:p w14:paraId="6CA2B7F7" w14:textId="52CCAF60" w:rsidR="00832B1B" w:rsidRDefault="00832B1B" w:rsidP="00832B1B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  <w:r w:rsidRPr="00832B1B">
        <w:rPr>
          <w:rFonts w:ascii="Palatino Linotype" w:hAnsi="Palatino Linotype"/>
          <w:sz w:val="20"/>
          <w:szCs w:val="20"/>
        </w:rPr>
        <w:t>W momencie sprzedaży do banku rat wierzytelności z konkretnego projektu rozpoznawany jest jednorazowo cały wynik podatkowy na transakcji (czyli jak mamy 10-letni projekt finansowany wykupem, to w momencie realizacji tego wykupu rozpoznawany jest jednorazowo wynik podatkowy dla 10 lat). W sytuacji, gdy następuje wcześniejsza sp</w:t>
      </w:r>
      <w:r w:rsidR="00EA53F5">
        <w:rPr>
          <w:rFonts w:ascii="Palatino Linotype" w:hAnsi="Palatino Linotype"/>
          <w:sz w:val="20"/>
          <w:szCs w:val="20"/>
        </w:rPr>
        <w:t>ł</w:t>
      </w:r>
      <w:r w:rsidRPr="00832B1B">
        <w:rPr>
          <w:rFonts w:ascii="Palatino Linotype" w:hAnsi="Palatino Linotype"/>
          <w:sz w:val="20"/>
          <w:szCs w:val="20"/>
        </w:rPr>
        <w:t>ata przez klienta</w:t>
      </w:r>
      <w:r w:rsidR="00EA53F5">
        <w:rPr>
          <w:rFonts w:ascii="Palatino Linotype" w:hAnsi="Palatino Linotype"/>
          <w:sz w:val="20"/>
          <w:szCs w:val="20"/>
        </w:rPr>
        <w:t>,</w:t>
      </w:r>
      <w:r w:rsidRPr="00832B1B">
        <w:rPr>
          <w:rFonts w:ascii="Palatino Linotype" w:hAnsi="Palatino Linotype"/>
          <w:sz w:val="20"/>
          <w:szCs w:val="20"/>
        </w:rPr>
        <w:t xml:space="preserve"> Spółka naturalnie dokonuje spłaty zobowiązania z tytułu wykupu tego projektu i koryguje zarówno przychody</w:t>
      </w:r>
      <w:r w:rsidR="00EA53F5">
        <w:rPr>
          <w:rFonts w:ascii="Palatino Linotype" w:hAnsi="Palatino Linotype"/>
          <w:sz w:val="20"/>
          <w:szCs w:val="20"/>
        </w:rPr>
        <w:t>,</w:t>
      </w:r>
      <w:r w:rsidRPr="00832B1B">
        <w:rPr>
          <w:rFonts w:ascii="Palatino Linotype" w:hAnsi="Palatino Linotype"/>
          <w:sz w:val="20"/>
          <w:szCs w:val="20"/>
        </w:rPr>
        <w:t xml:space="preserve"> jak i koszty dotyczące tej transakcji, co skutkuje powstaniem straty podatkowej. Strata podatkowa może być rozliczona w określonym czasie przewidzianym przepisami podatkowymi, a gdy Spółka nie ma wystarczających perspektyw na jej pokrycie, tworzy odpis w rachunku wyników.</w:t>
      </w:r>
    </w:p>
    <w:p w14:paraId="2F30D15B" w14:textId="3C56A254" w:rsidR="00832B1B" w:rsidRDefault="00832B1B" w:rsidP="00832B1B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</w:p>
    <w:p w14:paraId="6A5B7BF9" w14:textId="1597F090" w:rsidR="00EA53F5" w:rsidRPr="00832B1B" w:rsidRDefault="00EA53F5" w:rsidP="00EA53F5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Pytanie</w:t>
      </w:r>
      <w:r w:rsidR="00C925B1">
        <w:rPr>
          <w:rFonts w:ascii="Palatino Linotype" w:hAnsi="Palatino Linotype"/>
          <w:sz w:val="20"/>
          <w:szCs w:val="20"/>
        </w:rPr>
        <w:t xml:space="preserve"> nr 2</w:t>
      </w:r>
      <w:r>
        <w:rPr>
          <w:rFonts w:ascii="Palatino Linotype" w:hAnsi="Palatino Linotype"/>
          <w:sz w:val="20"/>
          <w:szCs w:val="20"/>
        </w:rPr>
        <w:t xml:space="preserve">: </w:t>
      </w:r>
      <w:r w:rsidRPr="00832B1B">
        <w:rPr>
          <w:rFonts w:ascii="Palatino Linotype" w:hAnsi="Palatino Linotype"/>
          <w:sz w:val="20"/>
          <w:szCs w:val="20"/>
        </w:rPr>
        <w:t>Na s. 54 SF czytam: „Na 31 grudnia 2019 roku saldo poręczonych kredytów wobec Idea Bank SA wynosiło 106.322 tys. zł.”. Proszę potwierdzić, że ryzyko związane z tymi poręczeniami zostało uznane za nieistotne i dlatego nie utworzono na nie żadnych rezerw? Proszę też o informację nt. terminu wygaśnięcia tych gwarancji.</w:t>
      </w:r>
    </w:p>
    <w:p w14:paraId="52AFFCD0" w14:textId="77777777" w:rsidR="00EA53F5" w:rsidRPr="00832B1B" w:rsidRDefault="00EA53F5" w:rsidP="00EA53F5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</w:p>
    <w:p w14:paraId="44828CFB" w14:textId="5358A3FF" w:rsidR="00EA53F5" w:rsidRDefault="00EA53F5" w:rsidP="00EA53F5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Odpowiedź: </w:t>
      </w:r>
      <w:r w:rsidRPr="00832B1B">
        <w:rPr>
          <w:rFonts w:ascii="Palatino Linotype" w:hAnsi="Palatino Linotype"/>
          <w:sz w:val="20"/>
          <w:szCs w:val="20"/>
        </w:rPr>
        <w:t xml:space="preserve">Struktura bilansu Spółki, jak również </w:t>
      </w:r>
      <w:r w:rsidR="008E1F1C">
        <w:rPr>
          <w:rFonts w:ascii="Palatino Linotype" w:hAnsi="Palatino Linotype"/>
          <w:sz w:val="20"/>
          <w:szCs w:val="20"/>
        </w:rPr>
        <w:t>b</w:t>
      </w:r>
      <w:r w:rsidR="008E1F1C" w:rsidRPr="008E1F1C">
        <w:rPr>
          <w:rFonts w:ascii="Palatino Linotype" w:hAnsi="Palatino Linotype"/>
          <w:sz w:val="20"/>
          <w:szCs w:val="20"/>
        </w:rPr>
        <w:t>ieżący monitoring spłacalności poręczonych kredytów nie daje żadnych podstaw do utworzenia dodatkowych rezerw</w:t>
      </w:r>
      <w:r w:rsidRPr="00832B1B">
        <w:rPr>
          <w:rFonts w:ascii="Palatino Linotype" w:hAnsi="Palatino Linotype"/>
          <w:sz w:val="20"/>
          <w:szCs w:val="20"/>
        </w:rPr>
        <w:t>. Poręczenia są udzielane na czas oznaczony</w:t>
      </w:r>
      <w:r>
        <w:rPr>
          <w:rFonts w:ascii="Palatino Linotype" w:hAnsi="Palatino Linotype"/>
          <w:sz w:val="20"/>
          <w:szCs w:val="20"/>
        </w:rPr>
        <w:t>,</w:t>
      </w:r>
      <w:r w:rsidRPr="00832B1B">
        <w:rPr>
          <w:rFonts w:ascii="Palatino Linotype" w:hAnsi="Palatino Linotype"/>
          <w:sz w:val="20"/>
          <w:szCs w:val="20"/>
        </w:rPr>
        <w:t xml:space="preserve"> tj. do dnia całkowitej spłaty wierzytelności zabezpieczonych</w:t>
      </w:r>
      <w:r>
        <w:rPr>
          <w:rFonts w:ascii="Palatino Linotype" w:hAnsi="Palatino Linotype"/>
          <w:sz w:val="20"/>
          <w:szCs w:val="20"/>
        </w:rPr>
        <w:t>,</w:t>
      </w:r>
      <w:r w:rsidRPr="00832B1B">
        <w:rPr>
          <w:rFonts w:ascii="Palatino Linotype" w:hAnsi="Palatino Linotype"/>
          <w:sz w:val="20"/>
          <w:szCs w:val="20"/>
        </w:rPr>
        <w:t xml:space="preserve"> wynikającego z umownych harmonogramów spłaty, nie dalej niż do określonego w konkretnej umowie poręczenia dnia.</w:t>
      </w:r>
    </w:p>
    <w:p w14:paraId="3D021850" w14:textId="0A985245" w:rsidR="007F5BFF" w:rsidRDefault="007F5BFF" w:rsidP="00EA53F5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</w:p>
    <w:p w14:paraId="1098D25F" w14:textId="51CB4DEB" w:rsidR="008E1F1C" w:rsidRDefault="008E1F1C" w:rsidP="00EA53F5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</w:p>
    <w:p w14:paraId="7F790E2E" w14:textId="6221E46F" w:rsidR="008E1F1C" w:rsidRDefault="008E1F1C" w:rsidP="00EA53F5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</w:p>
    <w:p w14:paraId="49455B8D" w14:textId="77777777" w:rsidR="008E1F1C" w:rsidRDefault="008E1F1C" w:rsidP="00EA53F5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</w:p>
    <w:p w14:paraId="3CB53773" w14:textId="69AF20C6" w:rsidR="007F5BFF" w:rsidRPr="007F5BFF" w:rsidRDefault="007F5BFF" w:rsidP="007F5BFF">
      <w:pPr>
        <w:jc w:val="both"/>
        <w:rPr>
          <w:rFonts w:ascii="Palatino Linotype" w:eastAsia="TTE159A590t00" w:hAnsi="Palatino Linotype" w:cs="Tahoma"/>
          <w:sz w:val="20"/>
          <w:szCs w:val="20"/>
        </w:rPr>
      </w:pPr>
      <w:r w:rsidRPr="007F5BFF">
        <w:rPr>
          <w:rFonts w:ascii="Palatino Linotype" w:eastAsia="TTE159A590t00" w:hAnsi="Palatino Linotype" w:cs="Tahoma"/>
          <w:sz w:val="20"/>
          <w:szCs w:val="20"/>
        </w:rPr>
        <w:lastRenderedPageBreak/>
        <w:t>Na 31 marca 2020 roku oraz 31 grudnia 2019 roku Spółka posiadała następujące umowy poręczenia</w:t>
      </w:r>
      <w:r w:rsidR="001D11C3">
        <w:rPr>
          <w:rFonts w:ascii="Palatino Linotype" w:eastAsia="TTE159A590t00" w:hAnsi="Palatino Linotype" w:cs="Tahoma"/>
          <w:sz w:val="20"/>
          <w:szCs w:val="20"/>
        </w:rPr>
        <w:t xml:space="preserve"> (dane w tys. zł)</w:t>
      </w:r>
      <w:r w:rsidRPr="007F5BFF">
        <w:rPr>
          <w:rFonts w:ascii="Palatino Linotype" w:eastAsia="TTE159A590t00" w:hAnsi="Palatino Linotype" w:cs="Tahoma"/>
          <w:sz w:val="20"/>
          <w:szCs w:val="20"/>
        </w:rPr>
        <w:t>:</w:t>
      </w:r>
    </w:p>
    <w:p w14:paraId="0F1D1903" w14:textId="77777777" w:rsidR="007F5BFF" w:rsidRPr="007F5BFF" w:rsidRDefault="007F5BFF" w:rsidP="007F5BFF">
      <w:pPr>
        <w:jc w:val="both"/>
        <w:rPr>
          <w:rFonts w:ascii="Palatino Linotype" w:eastAsia="TTE159A590t00" w:hAnsi="Palatino Linotype" w:cs="Tahoma"/>
          <w:sz w:val="20"/>
          <w:szCs w:val="20"/>
        </w:rPr>
      </w:pPr>
    </w:p>
    <w:tbl>
      <w:tblPr>
        <w:tblW w:w="7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280"/>
        <w:gridCol w:w="1280"/>
        <w:gridCol w:w="1280"/>
        <w:gridCol w:w="1280"/>
        <w:gridCol w:w="1280"/>
      </w:tblGrid>
      <w:tr w:rsidR="007F5BFF" w:rsidRPr="007F5BFF" w14:paraId="63D54B59" w14:textId="77777777" w:rsidTr="007F5BFF">
        <w:trPr>
          <w:trHeight w:val="45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C952" w14:textId="77777777" w:rsidR="007F5BFF" w:rsidRPr="007F5BFF" w:rsidRDefault="007F5BFF" w:rsidP="007F5BF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  <w:t>Instytucja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2E52" w14:textId="77777777" w:rsidR="007F5BFF" w:rsidRPr="007F5BFF" w:rsidRDefault="007F5BFF" w:rsidP="007F5BF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  <w:t>m-c zawarcia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F056" w14:textId="77777777" w:rsidR="007F5BFF" w:rsidRPr="007F5BFF" w:rsidRDefault="007F5BFF" w:rsidP="007F5BF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  <w:t>kwota poręczenia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C020" w14:textId="77777777" w:rsidR="007F5BFF" w:rsidRPr="007F5BFF" w:rsidRDefault="007F5BFF" w:rsidP="007F5BF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  <w:t>stan na 31.03.2020r.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5DE6" w14:textId="77777777" w:rsidR="007F5BFF" w:rsidRPr="007F5BFF" w:rsidRDefault="007F5BFF" w:rsidP="007F5BF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  <w:t>stan na 31.12.2019r.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04F8" w14:textId="77777777" w:rsidR="007F5BFF" w:rsidRPr="007F5BFF" w:rsidRDefault="007F5BFF" w:rsidP="007F5BF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  <w:t>data zakończenia</w:t>
            </w:r>
          </w:p>
        </w:tc>
      </w:tr>
      <w:tr w:rsidR="007F5BFF" w:rsidRPr="007F5BFF" w14:paraId="3389BBB6" w14:textId="77777777" w:rsidTr="007F5BFF">
        <w:trPr>
          <w:trHeight w:val="45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8A73" w14:textId="77777777" w:rsidR="007F5BFF" w:rsidRPr="007F5BFF" w:rsidRDefault="007F5BFF" w:rsidP="007F5BFF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0D95" w14:textId="77777777" w:rsidR="007F5BFF" w:rsidRPr="007F5BFF" w:rsidRDefault="007F5BFF" w:rsidP="007F5BFF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E29F" w14:textId="77777777" w:rsidR="007F5BFF" w:rsidRPr="007F5BFF" w:rsidRDefault="007F5BFF" w:rsidP="007F5BFF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D143" w14:textId="77777777" w:rsidR="007F5BFF" w:rsidRPr="007F5BFF" w:rsidRDefault="007F5BFF" w:rsidP="007F5BFF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FFEE" w14:textId="77777777" w:rsidR="007F5BFF" w:rsidRPr="007F5BFF" w:rsidRDefault="007F5BFF" w:rsidP="007F5BFF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52C3" w14:textId="77777777" w:rsidR="007F5BFF" w:rsidRPr="007F5BFF" w:rsidRDefault="007F5BFF" w:rsidP="007F5BFF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7F5BFF" w:rsidRPr="007F5BFF" w14:paraId="3FAE2D68" w14:textId="77777777" w:rsidTr="007F5BFF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09C9" w14:textId="77777777" w:rsidR="007F5BFF" w:rsidRPr="007F5BFF" w:rsidRDefault="007F5BFF" w:rsidP="007F5BFF">
            <w:pPr>
              <w:spacing w:after="0" w:line="240" w:lineRule="auto"/>
              <w:ind w:firstLineChars="100" w:firstLine="160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Wierzyciel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479A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cze 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A1C7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3 000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5066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0B56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9125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nieokreślone</w:t>
            </w:r>
          </w:p>
        </w:tc>
      </w:tr>
      <w:tr w:rsidR="007F5BFF" w:rsidRPr="007F5BFF" w14:paraId="161B2BA2" w14:textId="77777777" w:rsidTr="007F5BFF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B717" w14:textId="77777777" w:rsidR="007F5BFF" w:rsidRPr="007F5BFF" w:rsidRDefault="007F5BFF" w:rsidP="007F5BFF">
            <w:pPr>
              <w:spacing w:after="0" w:line="240" w:lineRule="auto"/>
              <w:ind w:firstLineChars="100" w:firstLine="160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Bank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ABB2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wrz 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AA4D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68 000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0F42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42 500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3529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46 100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4C1A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2023-02-28</w:t>
            </w:r>
          </w:p>
        </w:tc>
      </w:tr>
      <w:tr w:rsidR="007F5BFF" w:rsidRPr="007F5BFF" w14:paraId="75E8964C" w14:textId="77777777" w:rsidTr="007F5BFF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A372" w14:textId="77777777" w:rsidR="007F5BFF" w:rsidRPr="007F5BFF" w:rsidRDefault="007F5BFF" w:rsidP="007F5BFF">
            <w:pPr>
              <w:spacing w:after="0" w:line="240" w:lineRule="auto"/>
              <w:ind w:firstLineChars="100" w:firstLine="160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Bank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0BBA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lis 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CB12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7 000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259E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3 908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DB18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4 083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E023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2025-12-31</w:t>
            </w:r>
          </w:p>
        </w:tc>
      </w:tr>
      <w:tr w:rsidR="007F5BFF" w:rsidRPr="007F5BFF" w14:paraId="7E8C27CC" w14:textId="77777777" w:rsidTr="007F5BFF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DDEA" w14:textId="77777777" w:rsidR="007F5BFF" w:rsidRPr="007F5BFF" w:rsidRDefault="007F5BFF" w:rsidP="007F5BFF">
            <w:pPr>
              <w:spacing w:after="0" w:line="240" w:lineRule="auto"/>
              <w:ind w:firstLineChars="100" w:firstLine="160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Bank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4109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wrz 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C6D1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8 000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23E1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4 511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546A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4 766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5301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2024-11-30</w:t>
            </w:r>
          </w:p>
        </w:tc>
      </w:tr>
      <w:tr w:rsidR="007F5BFF" w:rsidRPr="007F5BFF" w14:paraId="52D25DDE" w14:textId="77777777" w:rsidTr="007F5BFF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C687" w14:textId="77777777" w:rsidR="007F5BFF" w:rsidRPr="007F5BFF" w:rsidRDefault="007F5BFF" w:rsidP="007F5BFF">
            <w:pPr>
              <w:spacing w:after="0" w:line="240" w:lineRule="auto"/>
              <w:ind w:firstLineChars="100" w:firstLine="160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Bank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07FA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wrz 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E0FB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22 000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CAE2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14 896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27CE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15 583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CC4D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2025-11-30</w:t>
            </w:r>
          </w:p>
        </w:tc>
      </w:tr>
      <w:tr w:rsidR="007F5BFF" w:rsidRPr="007F5BFF" w14:paraId="7FE8DB4D" w14:textId="77777777" w:rsidTr="007F5BFF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FAD1" w14:textId="77777777" w:rsidR="007F5BFF" w:rsidRPr="007F5BFF" w:rsidRDefault="007F5BFF" w:rsidP="007F5BFF">
            <w:pPr>
              <w:spacing w:after="0" w:line="240" w:lineRule="auto"/>
              <w:ind w:firstLineChars="100" w:firstLine="160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Bank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16B8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gru 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4ED0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9 800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3D5C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6 261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A3F3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6 533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7D97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2026-03-31</w:t>
            </w:r>
          </w:p>
        </w:tc>
      </w:tr>
      <w:tr w:rsidR="007F5BFF" w:rsidRPr="007F5BFF" w14:paraId="4B3FA76F" w14:textId="77777777" w:rsidTr="007F5BFF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03D3" w14:textId="77777777" w:rsidR="007F5BFF" w:rsidRPr="007F5BFF" w:rsidRDefault="007F5BFF" w:rsidP="007F5BFF">
            <w:pPr>
              <w:spacing w:after="0" w:line="240" w:lineRule="auto"/>
              <w:ind w:firstLineChars="100" w:firstLine="160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Bank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6A07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gru 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671B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10 000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6B79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6 886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D3AE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7 141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8211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2027-06-30</w:t>
            </w:r>
          </w:p>
        </w:tc>
      </w:tr>
      <w:tr w:rsidR="007F5BFF" w:rsidRPr="007F5BFF" w14:paraId="0A68D422" w14:textId="77777777" w:rsidTr="007F5BFF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1E52" w14:textId="77777777" w:rsidR="007F5BFF" w:rsidRPr="007F5BFF" w:rsidRDefault="007F5BFF" w:rsidP="007F5BFF">
            <w:pPr>
              <w:spacing w:after="0" w:line="240" w:lineRule="auto"/>
              <w:ind w:firstLineChars="100" w:firstLine="160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Bank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1732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paź 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7FC0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20 000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D77F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15 097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F6D6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15 670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1F19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2026-12-31</w:t>
            </w:r>
          </w:p>
        </w:tc>
      </w:tr>
      <w:tr w:rsidR="007F5BFF" w:rsidRPr="007F5BFF" w14:paraId="5AAAA348" w14:textId="77777777" w:rsidTr="007F5BFF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CBDA" w14:textId="77777777" w:rsidR="007F5BFF" w:rsidRPr="007F5BFF" w:rsidRDefault="007F5BFF" w:rsidP="007F5BFF">
            <w:pPr>
              <w:spacing w:after="0" w:line="240" w:lineRule="auto"/>
              <w:ind w:firstLineChars="100" w:firstLine="160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Bank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708B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kwi 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5232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8 000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2FDE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6 222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1A1B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6 444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826F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2027-06-30</w:t>
            </w:r>
          </w:p>
        </w:tc>
      </w:tr>
      <w:tr w:rsidR="007F5BFF" w:rsidRPr="007F5BFF" w14:paraId="63B9DC3A" w14:textId="77777777" w:rsidTr="007F5BFF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DB85" w14:textId="77777777" w:rsidR="007F5BFF" w:rsidRPr="007F5BFF" w:rsidRDefault="007F5BFF" w:rsidP="007F5BFF">
            <w:pPr>
              <w:spacing w:after="0" w:line="240" w:lineRule="auto"/>
              <w:ind w:firstLineChars="100" w:firstLine="161"/>
              <w:jc w:val="right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5967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A752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  <w:t>155 800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EC01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  <w:t>100 281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9576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  <w:t>106 320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CB6D" w14:textId="77777777" w:rsidR="007F5BFF" w:rsidRPr="007F5BFF" w:rsidRDefault="007F5BFF" w:rsidP="007F5BF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</w:pPr>
            <w:r w:rsidRPr="007F5BF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</w:tbl>
    <w:p w14:paraId="7DEE5EBB" w14:textId="77777777" w:rsidR="007F5BFF" w:rsidRPr="00832B1B" w:rsidRDefault="007F5BFF" w:rsidP="00EA53F5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</w:p>
    <w:p w14:paraId="5F6755B8" w14:textId="4F542CF0" w:rsidR="00EA53F5" w:rsidRDefault="00EA53F5" w:rsidP="00EA53F5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</w:p>
    <w:p w14:paraId="4676A6C5" w14:textId="6F96FB15" w:rsidR="00EA53F5" w:rsidRPr="00832B1B" w:rsidRDefault="00EA53F5" w:rsidP="00EA53F5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Pytanie</w:t>
      </w:r>
      <w:r w:rsidR="00C925B1">
        <w:rPr>
          <w:rFonts w:ascii="Palatino Linotype" w:hAnsi="Palatino Linotype"/>
          <w:sz w:val="20"/>
          <w:szCs w:val="20"/>
        </w:rPr>
        <w:t xml:space="preserve"> nr 3</w:t>
      </w:r>
      <w:r>
        <w:rPr>
          <w:rFonts w:ascii="Palatino Linotype" w:hAnsi="Palatino Linotype"/>
          <w:sz w:val="20"/>
          <w:szCs w:val="20"/>
        </w:rPr>
        <w:t xml:space="preserve">: </w:t>
      </w:r>
      <w:r w:rsidRPr="00832B1B">
        <w:rPr>
          <w:rFonts w:ascii="Palatino Linotype" w:hAnsi="Palatino Linotype"/>
          <w:sz w:val="20"/>
          <w:szCs w:val="20"/>
        </w:rPr>
        <w:t>Opis w nocie 32 na s. 67 SF dot. zarządzania kapitałem jest prawie identyczny do opisu ze SF za 2017 r. W międzyczasie natomiast miała miejsce fundamentalna zmiana strategii Spółki z daleko idącymi skutkami dla struktury kapitału. W związku z tym moim zdaniem nota ta powinna być napisana na nowo by uwzględnić docelową kapitałochłonność nowego modelu biznesowego. W szczególności czy działalność pośrednika kredytowego wymaga posiadania kapitału własnego w wysokości aż PLN 83 mln?</w:t>
      </w:r>
    </w:p>
    <w:p w14:paraId="50E8B665" w14:textId="77777777" w:rsidR="00EA53F5" w:rsidRPr="00832B1B" w:rsidRDefault="00EA53F5" w:rsidP="00EA53F5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  <w:bookmarkStart w:id="0" w:name="_GoBack"/>
      <w:bookmarkEnd w:id="0"/>
    </w:p>
    <w:p w14:paraId="0AAA30F0" w14:textId="54D8457B" w:rsidR="00EA53F5" w:rsidRPr="00832B1B" w:rsidRDefault="00EA53F5" w:rsidP="00EA53F5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Odpowiedź: </w:t>
      </w:r>
      <w:r w:rsidRPr="00832B1B">
        <w:rPr>
          <w:rFonts w:ascii="Palatino Linotype" w:hAnsi="Palatino Linotype"/>
          <w:sz w:val="20"/>
          <w:szCs w:val="20"/>
        </w:rPr>
        <w:t>Struktura dopasowania bilansu nie odzwierciedla tylko portfela wierzytelności, ale również stan posiadanych zobowiązań warunkowych (</w:t>
      </w:r>
      <w:r w:rsidR="0058061C">
        <w:rPr>
          <w:rFonts w:ascii="Palatino Linotype" w:hAnsi="Palatino Linotype"/>
          <w:sz w:val="20"/>
          <w:szCs w:val="20"/>
        </w:rPr>
        <w:t>poręczenia</w:t>
      </w:r>
      <w:r w:rsidRPr="00832B1B">
        <w:rPr>
          <w:rFonts w:ascii="Palatino Linotype" w:hAnsi="Palatino Linotype"/>
          <w:sz w:val="20"/>
          <w:szCs w:val="20"/>
        </w:rPr>
        <w:t>). Proszę zwrócić również uwagę na ryzyka dotyczące braku spłaty kluczowych ekspozycji (raport bieżący nr 4/2020</w:t>
      </w:r>
      <w:r w:rsidR="0059079F">
        <w:rPr>
          <w:rFonts w:ascii="Palatino Linotype" w:hAnsi="Palatino Linotype"/>
          <w:sz w:val="20"/>
          <w:szCs w:val="20"/>
        </w:rPr>
        <w:t>)</w:t>
      </w:r>
      <w:r w:rsidR="008E1F1C">
        <w:rPr>
          <w:rFonts w:ascii="Palatino Linotype" w:hAnsi="Palatino Linotype"/>
          <w:sz w:val="20"/>
          <w:szCs w:val="20"/>
        </w:rPr>
        <w:t>.</w:t>
      </w:r>
    </w:p>
    <w:p w14:paraId="426922F7" w14:textId="6CE07957" w:rsidR="00542396" w:rsidRPr="00832B1B" w:rsidRDefault="002261E3" w:rsidP="00832B1B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</w:p>
    <w:p w14:paraId="477CC98D" w14:textId="77777777" w:rsidR="00832B1B" w:rsidRDefault="00832B1B" w:rsidP="00832B1B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Szczegółowa p</w:t>
      </w:r>
      <w:r w:rsidRPr="00794B9B">
        <w:rPr>
          <w:rFonts w:ascii="Palatino Linotype" w:hAnsi="Palatino Linotype"/>
          <w:b/>
          <w:bCs/>
          <w:sz w:val="20"/>
          <w:szCs w:val="20"/>
        </w:rPr>
        <w:t>odstawa prawna:</w:t>
      </w:r>
      <w:r>
        <w:rPr>
          <w:rFonts w:ascii="Palatino Linotype" w:hAnsi="Palatino Linotype"/>
          <w:sz w:val="20"/>
          <w:szCs w:val="20"/>
        </w:rPr>
        <w:t xml:space="preserve"> </w:t>
      </w:r>
    </w:p>
    <w:p w14:paraId="7A9BFC8F" w14:textId="7F62B6AE" w:rsidR="00832B1B" w:rsidRPr="00832B1B" w:rsidRDefault="00832B1B" w:rsidP="00832B1B">
      <w:pPr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  <w:r w:rsidRPr="00832B1B">
        <w:rPr>
          <w:rFonts w:ascii="Palatino Linotype" w:hAnsi="Palatino Linotype"/>
          <w:sz w:val="20"/>
          <w:szCs w:val="20"/>
        </w:rPr>
        <w:t xml:space="preserve">§ 19 ust. 1 pkt </w:t>
      </w:r>
      <w:r>
        <w:rPr>
          <w:rFonts w:ascii="Palatino Linotype" w:hAnsi="Palatino Linotype"/>
          <w:sz w:val="20"/>
          <w:szCs w:val="20"/>
        </w:rPr>
        <w:t>12</w:t>
      </w:r>
      <w:r w:rsidRPr="00832B1B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r</w:t>
      </w:r>
      <w:r w:rsidRPr="00832B1B">
        <w:rPr>
          <w:rFonts w:ascii="Palatino Linotype" w:hAnsi="Palatino Linotype"/>
          <w:sz w:val="20"/>
          <w:szCs w:val="20"/>
        </w:rPr>
        <w:t>ozporządzenia Ministra Finansów z dnia 29 marca 2018 r. w sprawie informacji</w:t>
      </w:r>
      <w:r>
        <w:t xml:space="preserve"> </w:t>
      </w:r>
      <w:r w:rsidRPr="00832B1B">
        <w:rPr>
          <w:rFonts w:ascii="Palatino Linotype" w:hAnsi="Palatino Linotype"/>
          <w:sz w:val="20"/>
          <w:szCs w:val="20"/>
        </w:rPr>
        <w:t>bieżących i okresowych przekazywanych przez emitentów papierów wartościowych oraz warunków uznawania za równoważne informacji wymaganych przepisami prawa państwa niebędącego państwem członkowskim.</w:t>
      </w:r>
    </w:p>
    <w:sectPr w:rsidR="00832B1B" w:rsidRPr="0083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TE159A59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43859"/>
    <w:multiLevelType w:val="hybridMultilevel"/>
    <w:tmpl w:val="DBC808C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B1B"/>
    <w:rsid w:val="001D11C3"/>
    <w:rsid w:val="001D566F"/>
    <w:rsid w:val="002261E3"/>
    <w:rsid w:val="00450BCE"/>
    <w:rsid w:val="004B76A1"/>
    <w:rsid w:val="0058061C"/>
    <w:rsid w:val="0059079F"/>
    <w:rsid w:val="006D6A5B"/>
    <w:rsid w:val="007F5BFF"/>
    <w:rsid w:val="00832B1B"/>
    <w:rsid w:val="008932EB"/>
    <w:rsid w:val="008E1F1C"/>
    <w:rsid w:val="009813C5"/>
    <w:rsid w:val="00C925B1"/>
    <w:rsid w:val="00E616C1"/>
    <w:rsid w:val="00EA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1355"/>
  <w15:chartTrackingRefBased/>
  <w15:docId w15:val="{189AE4CE-1EAD-4FAF-BDA1-C7647ADF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2B1B"/>
    <w:pPr>
      <w:spacing w:after="0" w:line="240" w:lineRule="auto"/>
      <w:ind w:left="720"/>
    </w:pPr>
    <w:rPr>
      <w:rFonts w:ascii="Calibri" w:eastAsiaTheme="minorEastAsia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1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1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1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1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1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3754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Jankowska</dc:creator>
  <cp:keywords/>
  <dc:description/>
  <cp:lastModifiedBy>Tobiasz Borowski</cp:lastModifiedBy>
  <cp:revision>2</cp:revision>
  <dcterms:created xsi:type="dcterms:W3CDTF">2020-05-19T09:18:00Z</dcterms:created>
  <dcterms:modified xsi:type="dcterms:W3CDTF">2020-05-19T09:18:00Z</dcterms:modified>
</cp:coreProperties>
</file>